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E5" w:rsidRDefault="00966EE5" w:rsidP="00AE0001">
      <w:bookmarkStart w:id="0" w:name="_GoBack"/>
      <w:bookmarkEnd w:id="0"/>
    </w:p>
    <w:p w:rsidR="00966EE5" w:rsidRPr="00966EE5" w:rsidRDefault="00966EE5" w:rsidP="00966EE5">
      <w:pPr>
        <w:shd w:val="clear" w:color="auto" w:fill="FFFFFF"/>
        <w:spacing w:line="240" w:lineRule="auto"/>
        <w:outlineLvl w:val="0"/>
        <w:rPr>
          <w:rFonts w:ascii="open sans" w:eastAsia="Times New Roman" w:hAnsi="open sans" w:cs="Times New Roman"/>
          <w:color w:val="000000"/>
          <w:kern w:val="36"/>
          <w:sz w:val="51"/>
          <w:szCs w:val="51"/>
          <w:lang w:eastAsia="tr-TR"/>
        </w:rPr>
      </w:pPr>
      <w:r w:rsidRPr="00966EE5">
        <w:rPr>
          <w:rFonts w:ascii="open sans" w:eastAsia="Times New Roman" w:hAnsi="open sans" w:cs="Times New Roman"/>
          <w:color w:val="000000"/>
          <w:kern w:val="36"/>
          <w:sz w:val="51"/>
          <w:szCs w:val="51"/>
          <w:lang w:eastAsia="tr-TR"/>
        </w:rPr>
        <w:t>İş Kazası Bildirimi Nasıl Yapılır?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b/>
          <w:bCs/>
          <w:color w:val="000000"/>
          <w:sz w:val="26"/>
          <w:szCs w:val="26"/>
          <w:lang w:eastAsia="tr-TR"/>
        </w:rPr>
        <w:t>İş kazası</w:t>
      </w:r>
      <w:r w:rsidRPr="00966EE5">
        <w:rPr>
          <w:rFonts w:ascii="nunito" w:eastAsia="Times New Roman" w:hAnsi="nunito" w:cs="Times New Roman"/>
          <w:color w:val="000000"/>
          <w:sz w:val="26"/>
          <w:szCs w:val="26"/>
          <w:lang w:eastAsia="tr-TR"/>
        </w:rPr>
        <w:t>, farklı mevzuat ve kuruluşlara göre farklı şekillerde tanımlanmıştır ancak tüm tanımların buluştuğu ortak nokta çalışanların veya işyeri unsurlarının zarar gördüğü olumsuz olaylara iş kazası denilmesidir. Türkiye’de ise kaza tanımının yanında 5510 Sayılı Sosyal Sigortalar Kanunu ile hangi kazaların iş kazası olabileceği de belirlenmiştir.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Bunlar bilindiği üzere aşağıdaki gibidir;</w:t>
      </w:r>
    </w:p>
    <w:p w:rsidR="00966EE5" w:rsidRPr="00966EE5" w:rsidRDefault="00966EE5" w:rsidP="00966EE5">
      <w:pPr>
        <w:numPr>
          <w:ilvl w:val="0"/>
          <w:numId w:val="1"/>
        </w:numPr>
        <w:shd w:val="clear" w:color="auto" w:fill="FFFFFF"/>
        <w:spacing w:before="100" w:beforeAutospacing="1" w:after="100" w:afterAutospacing="1"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Sigortalının işyerinde bulunduğu sırada,</w:t>
      </w:r>
    </w:p>
    <w:p w:rsidR="00966EE5" w:rsidRPr="00966EE5" w:rsidRDefault="00966EE5" w:rsidP="00966EE5">
      <w:pPr>
        <w:numPr>
          <w:ilvl w:val="0"/>
          <w:numId w:val="1"/>
        </w:numPr>
        <w:shd w:val="clear" w:color="auto" w:fill="FFFFFF"/>
        <w:spacing w:before="100" w:beforeAutospacing="1" w:after="100" w:afterAutospacing="1"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İşveren tarafından yürütülmekte olan iş nedeniyle,</w:t>
      </w:r>
    </w:p>
    <w:p w:rsidR="00966EE5" w:rsidRPr="00966EE5" w:rsidRDefault="00966EE5" w:rsidP="00966EE5">
      <w:pPr>
        <w:numPr>
          <w:ilvl w:val="0"/>
          <w:numId w:val="1"/>
        </w:numPr>
        <w:shd w:val="clear" w:color="auto" w:fill="FFFFFF"/>
        <w:spacing w:before="100" w:beforeAutospacing="1" w:after="100" w:afterAutospacing="1"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Sigortalının, görevli olarak işyeri dışında başka bir yere gönderilmesi nedeniyle asıl işini yapmaksızın geçen zamanlarda,</w:t>
      </w:r>
    </w:p>
    <w:p w:rsidR="00966EE5" w:rsidRPr="00966EE5" w:rsidRDefault="00966EE5" w:rsidP="00966EE5">
      <w:pPr>
        <w:numPr>
          <w:ilvl w:val="0"/>
          <w:numId w:val="1"/>
        </w:numPr>
        <w:shd w:val="clear" w:color="auto" w:fill="FFFFFF"/>
        <w:spacing w:before="100" w:beforeAutospacing="1" w:after="100" w:afterAutospacing="1"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5510 sayılı Kanunun 4/a maddesi kapsamındaki emziren kadın sigortalının, iş mevzuatı gereğince çocuğuna süt vermek için ayrılan zamanlarda,</w:t>
      </w:r>
    </w:p>
    <w:p w:rsidR="00966EE5" w:rsidRPr="00966EE5" w:rsidRDefault="00966EE5" w:rsidP="00966EE5">
      <w:pPr>
        <w:numPr>
          <w:ilvl w:val="0"/>
          <w:numId w:val="1"/>
        </w:numPr>
        <w:shd w:val="clear" w:color="auto" w:fill="FFFFFF"/>
        <w:spacing w:before="100" w:beforeAutospacing="1" w:after="100" w:afterAutospacing="1"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Sigortalıların, işverence sağlanan bir taşıtla işin yapıldığı yere gidiş gelişi sırasında meydana gelen ve sigortalıyı hemen veya sonradan bedenen ya da ruhen özre uğratan,</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proofErr w:type="gramStart"/>
      <w:r w:rsidRPr="00966EE5">
        <w:rPr>
          <w:rFonts w:ascii="nunito" w:eastAsia="Times New Roman" w:hAnsi="nunito" w:cs="Times New Roman"/>
          <w:color w:val="000000"/>
          <w:sz w:val="26"/>
          <w:szCs w:val="26"/>
          <w:lang w:eastAsia="tr-TR"/>
        </w:rPr>
        <w:t>olaylara</w:t>
      </w:r>
      <w:proofErr w:type="gramEnd"/>
      <w:r w:rsidRPr="00966EE5">
        <w:rPr>
          <w:rFonts w:ascii="nunito" w:eastAsia="Times New Roman" w:hAnsi="nunito" w:cs="Times New Roman"/>
          <w:color w:val="000000"/>
          <w:sz w:val="26"/>
          <w:szCs w:val="26"/>
          <w:lang w:eastAsia="tr-TR"/>
        </w:rPr>
        <w:t> </w:t>
      </w:r>
      <w:r w:rsidRPr="00966EE5">
        <w:rPr>
          <w:rFonts w:ascii="nunito" w:eastAsia="Times New Roman" w:hAnsi="nunito" w:cs="Times New Roman"/>
          <w:b/>
          <w:bCs/>
          <w:color w:val="000000"/>
          <w:sz w:val="26"/>
          <w:szCs w:val="26"/>
          <w:lang w:eastAsia="tr-TR"/>
        </w:rPr>
        <w:t>iş kazası</w:t>
      </w:r>
      <w:r w:rsidRPr="00966EE5">
        <w:rPr>
          <w:rFonts w:ascii="nunito" w:eastAsia="Times New Roman" w:hAnsi="nunito" w:cs="Times New Roman"/>
          <w:color w:val="000000"/>
          <w:sz w:val="26"/>
          <w:szCs w:val="26"/>
          <w:lang w:eastAsia="tr-TR"/>
        </w:rPr>
        <w:t> denir.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hyperlink r:id="rId5" w:tgtFrame="_blank" w:history="1">
        <w:r w:rsidRPr="00966EE5">
          <w:rPr>
            <w:rFonts w:ascii="nunito" w:eastAsia="Times New Roman" w:hAnsi="nunito" w:cs="Times New Roman"/>
            <w:b/>
            <w:bCs/>
            <w:color w:val="0000FF"/>
            <w:sz w:val="26"/>
            <w:szCs w:val="26"/>
            <w:lang w:eastAsia="tr-TR"/>
          </w:rPr>
          <w:t>İş kazası meydana geldikten sonra yapılması gereken işler</w:t>
        </w:r>
      </w:hyperlink>
      <w:r w:rsidRPr="00966EE5">
        <w:rPr>
          <w:rFonts w:ascii="nunito" w:eastAsia="Times New Roman" w:hAnsi="nunito" w:cs="Times New Roman"/>
          <w:color w:val="000000"/>
          <w:sz w:val="26"/>
          <w:szCs w:val="26"/>
          <w:lang w:eastAsia="tr-TR"/>
        </w:rPr>
        <w:t> arasında </w:t>
      </w:r>
      <w:r w:rsidRPr="00966EE5">
        <w:rPr>
          <w:rFonts w:ascii="nunito" w:eastAsia="Times New Roman" w:hAnsi="nunito" w:cs="Times New Roman"/>
          <w:b/>
          <w:bCs/>
          <w:color w:val="000000"/>
          <w:sz w:val="26"/>
          <w:szCs w:val="26"/>
          <w:lang w:eastAsia="tr-TR"/>
        </w:rPr>
        <w:t>iş kazası bildirimi</w:t>
      </w:r>
      <w:r w:rsidRPr="00966EE5">
        <w:rPr>
          <w:rFonts w:ascii="nunito" w:eastAsia="Times New Roman" w:hAnsi="nunito" w:cs="Times New Roman"/>
          <w:color w:val="000000"/>
          <w:sz w:val="26"/>
          <w:szCs w:val="26"/>
          <w:lang w:eastAsia="tr-TR"/>
        </w:rPr>
        <w:t> de vardır. İş kazalarını Sosyal Güvenlik Kurumu’na bildirerek hem işyerinin para cezası alması önlenmiş hem de ülke çapında iş kazası değerlendirmelerine katkıda bulunulmuş olunur.</w:t>
      </w:r>
    </w:p>
    <w:p w:rsidR="00966EE5" w:rsidRPr="00966EE5" w:rsidRDefault="00966EE5" w:rsidP="00966EE5">
      <w:pPr>
        <w:shd w:val="clear" w:color="auto" w:fill="FFFFFF"/>
        <w:spacing w:before="300" w:after="150" w:line="240" w:lineRule="auto"/>
        <w:outlineLvl w:val="1"/>
        <w:rPr>
          <w:rFonts w:ascii="open sans" w:eastAsia="Times New Roman" w:hAnsi="open sans" w:cs="Times New Roman"/>
          <w:b/>
          <w:bCs/>
          <w:color w:val="000000"/>
          <w:sz w:val="45"/>
          <w:szCs w:val="45"/>
          <w:lang w:eastAsia="tr-TR"/>
        </w:rPr>
      </w:pPr>
      <w:r w:rsidRPr="00966EE5">
        <w:rPr>
          <w:rFonts w:ascii="open sans" w:eastAsia="Times New Roman" w:hAnsi="open sans" w:cs="Times New Roman"/>
          <w:b/>
          <w:bCs/>
          <w:color w:val="000000"/>
          <w:sz w:val="45"/>
          <w:szCs w:val="45"/>
          <w:lang w:eastAsia="tr-TR"/>
        </w:rPr>
        <w:t>İş Kazası Bildirim Süresi Nedir?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 kazaları, meydana geldiği günden sonraki 3 iş günü içerisinde Sosyal Güvenlik Kurumu’na bildirilmelidir. Yani pazartesi günü olan bir iş kazası için perşembe günü gece yarısına kadar bildirim yapılabilir.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 kaza bildirimi süresini hesaplarken sadece iş günleri dâhil edilir. Yani cumartesi, pazar ve resmi tatil günleri 3 günlük bildirim süresine dâhil değildir.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lastRenderedPageBreak/>
        <w:t>İş kazası bildirimi konusunda SGK Müdürlükleri sıklıkla bildirim süresini kazanın olduğu günü de dâhil ederek hesaplamakta ve ceza işlemi uygulamaktadır. Bu gibi durumlarda 5510 Sayılı SOSYAL SİGORTALAR VE GENEL SAĞLIK SİGORTASI KANUNU’</w:t>
      </w:r>
      <w:r>
        <w:rPr>
          <w:rFonts w:ascii="nunito" w:eastAsia="Times New Roman" w:hAnsi="nunito" w:cs="Times New Roman"/>
          <w:color w:val="000000"/>
          <w:sz w:val="26"/>
          <w:szCs w:val="26"/>
          <w:lang w:eastAsia="tr-TR"/>
        </w:rPr>
        <w:t xml:space="preserve"> </w:t>
      </w:r>
      <w:proofErr w:type="spellStart"/>
      <w:r w:rsidRPr="00966EE5">
        <w:rPr>
          <w:rFonts w:ascii="nunito" w:eastAsia="Times New Roman" w:hAnsi="nunito" w:cs="Times New Roman"/>
          <w:color w:val="000000"/>
          <w:sz w:val="26"/>
          <w:szCs w:val="26"/>
          <w:lang w:eastAsia="tr-TR"/>
        </w:rPr>
        <w:t>nun</w:t>
      </w:r>
      <w:proofErr w:type="spellEnd"/>
      <w:r w:rsidRPr="00966EE5">
        <w:rPr>
          <w:rFonts w:ascii="nunito" w:eastAsia="Times New Roman" w:hAnsi="nunito" w:cs="Times New Roman"/>
          <w:color w:val="000000"/>
          <w:sz w:val="26"/>
          <w:szCs w:val="26"/>
          <w:lang w:eastAsia="tr-TR"/>
        </w:rPr>
        <w:t xml:space="preserve"> 13. Maddesi gerekçe göstererek itiraz edilebilir.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i/>
          <w:iCs/>
          <w:color w:val="008000"/>
          <w:sz w:val="26"/>
          <w:szCs w:val="26"/>
          <w:lang w:eastAsia="tr-TR"/>
        </w:rPr>
        <w:t>a) (a) bendi ile 5 inci madde kapsamında bulunan sigortalılar bakımından bunları çalıştıran işveren tarafından, o yer yetkili kolluk kuvvetlerine derhal ve Kuruma da en geç </w:t>
      </w:r>
      <w:r w:rsidRPr="00966EE5">
        <w:rPr>
          <w:rFonts w:ascii="nunito" w:eastAsia="Times New Roman" w:hAnsi="nunito" w:cs="Times New Roman"/>
          <w:b/>
          <w:bCs/>
          <w:i/>
          <w:iCs/>
          <w:color w:val="008000"/>
          <w:sz w:val="26"/>
          <w:szCs w:val="26"/>
          <w:lang w:eastAsia="tr-TR"/>
        </w:rPr>
        <w:t>kazadan sonraki üç işgünü içinde</w:t>
      </w:r>
      <w:r w:rsidRPr="00966EE5">
        <w:rPr>
          <w:rFonts w:ascii="nunito" w:eastAsia="Times New Roman" w:hAnsi="nunito" w:cs="Times New Roman"/>
          <w:i/>
          <w:iCs/>
          <w:color w:val="008000"/>
          <w:sz w:val="26"/>
          <w:szCs w:val="26"/>
          <w:lang w:eastAsia="tr-TR"/>
        </w:rPr>
        <w:t>, iş kazası ve meslek hastalığı bildirgesi ile doğrudan ya da taahhütlü posta ile Kuruma bildirilmesi zorunludur.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 kazaları, Sosyal Güvenlik Kurumu’na elektronik ortamda veya doğrudan başvurarak bildirim yapılabilir.</w:t>
      </w:r>
    </w:p>
    <w:p w:rsidR="00966EE5" w:rsidRPr="00966EE5" w:rsidRDefault="00966EE5" w:rsidP="00966EE5">
      <w:pPr>
        <w:shd w:val="clear" w:color="auto" w:fill="FFFFFF"/>
        <w:spacing w:before="300" w:after="150" w:line="240" w:lineRule="auto"/>
        <w:outlineLvl w:val="1"/>
        <w:rPr>
          <w:rFonts w:ascii="open sans" w:eastAsia="Times New Roman" w:hAnsi="open sans" w:cs="Times New Roman"/>
          <w:b/>
          <w:bCs/>
          <w:color w:val="000000"/>
          <w:sz w:val="45"/>
          <w:szCs w:val="45"/>
          <w:lang w:eastAsia="tr-TR"/>
        </w:rPr>
      </w:pPr>
      <w:r w:rsidRPr="00966EE5">
        <w:rPr>
          <w:rFonts w:ascii="open sans" w:eastAsia="Times New Roman" w:hAnsi="open sans" w:cs="Times New Roman"/>
          <w:b/>
          <w:bCs/>
          <w:color w:val="000000"/>
          <w:sz w:val="45"/>
          <w:szCs w:val="45"/>
          <w:lang w:eastAsia="tr-TR"/>
        </w:rPr>
        <w:t>İş Kazası Bildirimi Nereye Yapılır?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 kazaları, Sosyal Güvenlik Kurumu’na elektronik ortamda veya doğrudan müracaat ederek yazılı şekilde bildirim yapılabilir.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Elektronik ortamda yapılan bildirimleri e-devlet sayfasından yapabilirsiniz. Elektronik ortamda yapılan bildirimlerde başka bildirim yapılmasına gerek yoktur.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Elektronik ortamda iş kazası bildirimi yapmak için E-bildirge şifresi sahibi olmanız gereklidir. Ayrıca elektronik ortamda iş kazası bildirimi sadece 4A kapsamında sigortalı olan çalışanlar için yapılabilir. E-bildirge şifresi yoksa ve diğer sigortalı kişilerin işlemleri için Sosyal Güvenlik Kurumu’na doğrudan başvurarak yapılır.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Yabancı uyruklu çalışanların geçirdiği iş kazalarında ise elektronik ortamda bildirim yapmak mümkün değildir. Bu nedenle SGK müdürlüğüne 3 iş günü içinde başvuru yaparak iş kazası bildirimi yapılmalıdır.</w:t>
      </w:r>
    </w:p>
    <w:p w:rsidR="00966EE5" w:rsidRPr="00966EE5" w:rsidRDefault="00966EE5" w:rsidP="00966EE5">
      <w:pPr>
        <w:shd w:val="clear" w:color="auto" w:fill="FFFFFF"/>
        <w:spacing w:before="300" w:after="150" w:line="240" w:lineRule="auto"/>
        <w:outlineLvl w:val="1"/>
        <w:rPr>
          <w:rFonts w:ascii="open sans" w:eastAsia="Times New Roman" w:hAnsi="open sans" w:cs="Times New Roman"/>
          <w:b/>
          <w:bCs/>
          <w:color w:val="000000"/>
          <w:sz w:val="45"/>
          <w:szCs w:val="45"/>
          <w:lang w:eastAsia="tr-TR"/>
        </w:rPr>
      </w:pPr>
      <w:r w:rsidRPr="00966EE5">
        <w:rPr>
          <w:rFonts w:ascii="open sans" w:eastAsia="Times New Roman" w:hAnsi="open sans" w:cs="Times New Roman"/>
          <w:b/>
          <w:bCs/>
          <w:color w:val="000000"/>
          <w:sz w:val="45"/>
          <w:szCs w:val="45"/>
          <w:lang w:eastAsia="tr-TR"/>
        </w:rPr>
        <w:t>İş Kazası Bildirmeme Cezası</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İşverenleri</w:t>
      </w:r>
      <w:r>
        <w:rPr>
          <w:rFonts w:ascii="nunito" w:eastAsia="Times New Roman" w:hAnsi="nunito" w:cs="Times New Roman"/>
          <w:color w:val="000000"/>
          <w:sz w:val="26"/>
          <w:szCs w:val="26"/>
          <w:lang w:eastAsia="tr-TR"/>
        </w:rPr>
        <w:t>n</w:t>
      </w:r>
      <w:r w:rsidRPr="00966EE5">
        <w:rPr>
          <w:rFonts w:ascii="nunito" w:eastAsia="Times New Roman" w:hAnsi="nunito" w:cs="Times New Roman"/>
          <w:color w:val="000000"/>
          <w:sz w:val="26"/>
          <w:szCs w:val="26"/>
          <w:lang w:eastAsia="tr-TR"/>
        </w:rPr>
        <w:t>, iş kazası bildirimlerini 3 iş günü içinde yapmamaları durumunda Sosyal Güvenlik Kurumu tarafından </w:t>
      </w:r>
      <w:hyperlink r:id="rId6" w:tgtFrame="_blank" w:history="1">
        <w:r w:rsidRPr="00966EE5">
          <w:rPr>
            <w:rFonts w:ascii="nunito" w:eastAsia="Times New Roman" w:hAnsi="nunito" w:cs="Times New Roman"/>
            <w:color w:val="0000FF"/>
            <w:sz w:val="26"/>
            <w:szCs w:val="26"/>
            <w:lang w:eastAsia="tr-TR"/>
          </w:rPr>
          <w:t>6331 sayılı İş Sağlığı ve Güvenliği Kanunu</w:t>
        </w:r>
      </w:hyperlink>
      <w:r w:rsidRPr="00966EE5">
        <w:rPr>
          <w:rFonts w:ascii="nunito" w:eastAsia="Times New Roman" w:hAnsi="nunito" w:cs="Times New Roman"/>
          <w:color w:val="000000"/>
          <w:sz w:val="26"/>
          <w:szCs w:val="26"/>
          <w:lang w:eastAsia="tr-TR"/>
        </w:rPr>
        <w:t> gereği </w:t>
      </w:r>
      <w:r w:rsidRPr="00966EE5">
        <w:rPr>
          <w:rFonts w:ascii="nunito" w:eastAsia="Times New Roman" w:hAnsi="nunito" w:cs="Times New Roman"/>
          <w:b/>
          <w:bCs/>
          <w:color w:val="000000"/>
          <w:sz w:val="26"/>
          <w:szCs w:val="26"/>
          <w:lang w:eastAsia="tr-TR"/>
        </w:rPr>
        <w:t>iş kazası bildirmeme cezası</w:t>
      </w:r>
      <w:r w:rsidRPr="00966EE5">
        <w:rPr>
          <w:rFonts w:ascii="nunito" w:eastAsia="Times New Roman" w:hAnsi="nunito" w:cs="Times New Roman"/>
          <w:color w:val="000000"/>
          <w:sz w:val="26"/>
          <w:szCs w:val="26"/>
          <w:lang w:eastAsia="tr-TR"/>
        </w:rPr>
        <w:t> uygulanır.  2021 yılı iş kazası bildirmeme cezası her geç bildirim başına </w:t>
      </w:r>
      <w:r w:rsidRPr="00966EE5">
        <w:rPr>
          <w:rFonts w:ascii="nunito" w:eastAsia="Times New Roman" w:hAnsi="nunito" w:cs="Times New Roman"/>
          <w:b/>
          <w:bCs/>
          <w:color w:val="000000"/>
          <w:sz w:val="26"/>
          <w:szCs w:val="26"/>
          <w:lang w:eastAsia="tr-TR"/>
        </w:rPr>
        <w:t>asgari olarak 5.115 TL’dir.</w:t>
      </w:r>
      <w:r w:rsidRPr="00966EE5">
        <w:rPr>
          <w:rFonts w:ascii="nunito" w:eastAsia="Times New Roman" w:hAnsi="nunito" w:cs="Times New Roman"/>
          <w:color w:val="000000"/>
          <w:sz w:val="26"/>
          <w:szCs w:val="26"/>
          <w:lang w:eastAsia="tr-TR"/>
        </w:rPr>
        <w:t> Ancak işyerinin tehlike sınıfı ve çalışan sayısına göre uygulanacak idari para cezası tutarı farklılık gösterebilmektedir.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lastRenderedPageBreak/>
        <w:t>Buna göre 2021 yılı iş kazası geç bildiriminden dolayı uygulanacak idari para cezası tutarları şu şekilde olacaktır;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Ancak iş kazası bildirmeme cezası sadece idari para cezası ile sınırlı değildir. SGK, iş kazası geçiren çalışan için yaptığı sağlık harcamalarını ve bağladığı aylık ödemeleri de işverenlerden tahsil etme yoluna gitmektedir.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Sağlık kuruluşlarının da iş kazalarını SGK’</w:t>
      </w:r>
      <w:r>
        <w:rPr>
          <w:rFonts w:ascii="nunito" w:eastAsia="Times New Roman" w:hAnsi="nunito" w:cs="Times New Roman"/>
          <w:color w:val="000000"/>
          <w:sz w:val="26"/>
          <w:szCs w:val="26"/>
          <w:lang w:eastAsia="tr-TR"/>
        </w:rPr>
        <w:t xml:space="preserve"> </w:t>
      </w:r>
      <w:r w:rsidRPr="00966EE5">
        <w:rPr>
          <w:rFonts w:ascii="nunito" w:eastAsia="Times New Roman" w:hAnsi="nunito" w:cs="Times New Roman"/>
          <w:color w:val="000000"/>
          <w:sz w:val="26"/>
          <w:szCs w:val="26"/>
          <w:lang w:eastAsia="tr-TR"/>
        </w:rPr>
        <w:t>ya bildirme zorunluluğu vardır. Bu nedenle işverenlerin bildirmediği iş kazaları, SGK tarafından hastaneler aracılığı ile öğrenilmekte ve işverenlere idari cezalar yansıtılmaktadır. Bu nedenle her türlü iş kazası için mutlaka bildirim yapılmalıdır.</w:t>
      </w:r>
    </w:p>
    <w:p w:rsidR="00966EE5" w:rsidRPr="00966EE5" w:rsidRDefault="00966EE5" w:rsidP="00966EE5">
      <w:pPr>
        <w:shd w:val="clear" w:color="auto" w:fill="FFFFFF"/>
        <w:spacing w:before="300" w:after="150" w:line="240" w:lineRule="auto"/>
        <w:outlineLvl w:val="1"/>
        <w:rPr>
          <w:rFonts w:ascii="open sans" w:eastAsia="Times New Roman" w:hAnsi="open sans" w:cs="Times New Roman"/>
          <w:b/>
          <w:bCs/>
          <w:color w:val="000000"/>
          <w:sz w:val="45"/>
          <w:szCs w:val="45"/>
          <w:lang w:eastAsia="tr-TR"/>
        </w:rPr>
      </w:pPr>
      <w:r w:rsidRPr="00966EE5">
        <w:rPr>
          <w:rFonts w:ascii="open sans" w:eastAsia="Times New Roman" w:hAnsi="open sans" w:cs="Times New Roman"/>
          <w:b/>
          <w:bCs/>
          <w:color w:val="000000"/>
          <w:sz w:val="45"/>
          <w:szCs w:val="45"/>
          <w:lang w:eastAsia="tr-TR"/>
        </w:rPr>
        <w:t xml:space="preserve">Hangi İş Kazaları İçin Bildirim </w:t>
      </w:r>
      <w:proofErr w:type="gramStart"/>
      <w:r w:rsidRPr="00966EE5">
        <w:rPr>
          <w:rFonts w:ascii="open sans" w:eastAsia="Times New Roman" w:hAnsi="open sans" w:cs="Times New Roman"/>
          <w:b/>
          <w:bCs/>
          <w:color w:val="000000"/>
          <w:sz w:val="45"/>
          <w:szCs w:val="45"/>
          <w:lang w:eastAsia="tr-TR"/>
        </w:rPr>
        <w:t>Yapılmalıdır ?</w:t>
      </w:r>
      <w:proofErr w:type="gramEnd"/>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İşyerinde veya iş yaparken meydana gelen ve çalışanı fiziken veya ruhsal açıdan zarara uğratan her türlü olumsuz olay iş kazası olarak değerlendirilir. Bu nedenle çalışan kazadan sonra işe devam etsin veya etmesin her türlü olumsuz olay iş kazası olarak bildirilmelidir.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Burkulma, incinme ve hatta kırık gibi bazı sağlık problemleri, olayın olduğu an fark edilmeyip daha sonra ortaya çıkabilmektedir. Bu durumda çalışan mesai saati dışında hastaneye gidip durumu anlattığında hastaneler iş kazası olarak bildirim yapmaktadır. Bu gibi durumlarda idari para cezası ve sağlık masrafları ile yüz yüze kalmamak için iş kazası bildirimi yapılmalıdır.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Bunun yanında kişisel sağlık problemi olarak değerlendirilebilen kalp krizi, beyin kanaması, ani bayılma veya sinir krizi gibi rahatsızlıklar da iş kazası olarak bildirilmelidir.</w:t>
      </w:r>
    </w:p>
    <w:p w:rsidR="00966EE5" w:rsidRPr="00966EE5" w:rsidRDefault="00966EE5" w:rsidP="00966EE5">
      <w:pPr>
        <w:shd w:val="clear" w:color="auto" w:fill="FFFFFF"/>
        <w:spacing w:after="255" w:line="405" w:lineRule="atLeast"/>
        <w:rPr>
          <w:rFonts w:ascii="nunito" w:eastAsia="Times New Roman" w:hAnsi="nunito" w:cs="Times New Roman"/>
          <w:color w:val="000000"/>
          <w:sz w:val="26"/>
          <w:szCs w:val="26"/>
          <w:lang w:eastAsia="tr-TR"/>
        </w:rPr>
      </w:pPr>
      <w:r w:rsidRPr="00966EE5">
        <w:rPr>
          <w:rFonts w:ascii="nunito" w:eastAsia="Times New Roman" w:hAnsi="nunito" w:cs="Times New Roman"/>
          <w:color w:val="000000"/>
          <w:sz w:val="26"/>
          <w:szCs w:val="26"/>
          <w:lang w:eastAsia="tr-TR"/>
        </w:rPr>
        <w:t>İşveren çevresi tarafında bu tür rahatsızlıkların iş ile ilgili olmadığı düşünülüp iş kazası bildirimi yapılmamaktadır ancak bu tür olaylarda SGK iş-iş kazası bağını kurmaktadır. Dolayısıyla işveren için bir sorun teşkil etmemektedir.</w:t>
      </w:r>
    </w:p>
    <w:p w:rsidR="00966EE5" w:rsidRDefault="00966EE5" w:rsidP="00AE0001"/>
    <w:sectPr w:rsidR="00966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nunit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C7154"/>
    <w:multiLevelType w:val="multilevel"/>
    <w:tmpl w:val="D6AA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01"/>
    <w:rsid w:val="00235E2A"/>
    <w:rsid w:val="00966EE5"/>
    <w:rsid w:val="00AE0001"/>
    <w:rsid w:val="00B05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C47C"/>
  <w15:chartTrackingRefBased/>
  <w15:docId w15:val="{F9C7E1A1-DA28-4BD4-90C4-3EDF84A3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69384">
      <w:bodyDiv w:val="1"/>
      <w:marLeft w:val="0"/>
      <w:marRight w:val="0"/>
      <w:marTop w:val="0"/>
      <w:marBottom w:val="0"/>
      <w:divBdr>
        <w:top w:val="none" w:sz="0" w:space="0" w:color="auto"/>
        <w:left w:val="none" w:sz="0" w:space="0" w:color="auto"/>
        <w:bottom w:val="none" w:sz="0" w:space="0" w:color="auto"/>
        <w:right w:val="none" w:sz="0" w:space="0" w:color="auto"/>
      </w:divBdr>
      <w:divsChild>
        <w:div w:id="311448594">
          <w:marLeft w:val="0"/>
          <w:marRight w:val="0"/>
          <w:marTop w:val="0"/>
          <w:marBottom w:val="300"/>
          <w:divBdr>
            <w:top w:val="none" w:sz="0" w:space="0" w:color="auto"/>
            <w:left w:val="none" w:sz="0" w:space="0" w:color="auto"/>
            <w:bottom w:val="none" w:sz="0" w:space="0" w:color="auto"/>
            <w:right w:val="none" w:sz="0" w:space="0" w:color="auto"/>
          </w:divBdr>
          <w:divsChild>
            <w:div w:id="1479111618">
              <w:marLeft w:val="0"/>
              <w:marRight w:val="0"/>
              <w:marTop w:val="0"/>
              <w:marBottom w:val="0"/>
              <w:divBdr>
                <w:top w:val="none" w:sz="0" w:space="0" w:color="auto"/>
                <w:left w:val="none" w:sz="0" w:space="0" w:color="auto"/>
                <w:bottom w:val="none" w:sz="0" w:space="0" w:color="auto"/>
                <w:right w:val="none" w:sz="0" w:space="0" w:color="auto"/>
              </w:divBdr>
            </w:div>
          </w:divsChild>
        </w:div>
        <w:div w:id="1902910695">
          <w:marLeft w:val="0"/>
          <w:marRight w:val="0"/>
          <w:marTop w:val="0"/>
          <w:marBottom w:val="0"/>
          <w:divBdr>
            <w:top w:val="none" w:sz="0" w:space="0" w:color="auto"/>
            <w:left w:val="none" w:sz="0" w:space="0" w:color="auto"/>
            <w:bottom w:val="none" w:sz="0" w:space="0" w:color="auto"/>
            <w:right w:val="none" w:sz="0" w:space="0" w:color="auto"/>
          </w:divBdr>
          <w:divsChild>
            <w:div w:id="892277021">
              <w:marLeft w:val="0"/>
              <w:marRight w:val="0"/>
              <w:marTop w:val="0"/>
              <w:marBottom w:val="240"/>
              <w:divBdr>
                <w:top w:val="single" w:sz="6" w:space="8" w:color="AAAAAA"/>
                <w:left w:val="single" w:sz="6" w:space="8" w:color="AAAAAA"/>
                <w:bottom w:val="single" w:sz="6" w:space="8" w:color="AAAAAA"/>
                <w:right w:val="single" w:sz="6" w:space="8" w:color="AAAAAA"/>
              </w:divBdr>
            </w:div>
            <w:div w:id="160969950">
              <w:marLeft w:val="0"/>
              <w:marRight w:val="0"/>
              <w:marTop w:val="150"/>
              <w:marBottom w:val="225"/>
              <w:divBdr>
                <w:top w:val="single" w:sz="6" w:space="2" w:color="auto"/>
                <w:left w:val="single" w:sz="2" w:space="0" w:color="auto"/>
                <w:bottom w:val="single" w:sz="6" w:space="0" w:color="auto"/>
                <w:right w:val="single" w:sz="2" w:space="0" w:color="auto"/>
              </w:divBdr>
              <w:divsChild>
                <w:div w:id="187304659">
                  <w:marLeft w:val="0"/>
                  <w:marRight w:val="0"/>
                  <w:marTop w:val="0"/>
                  <w:marBottom w:val="240"/>
                  <w:divBdr>
                    <w:top w:val="none" w:sz="0" w:space="0" w:color="auto"/>
                    <w:left w:val="none" w:sz="0" w:space="0" w:color="auto"/>
                    <w:bottom w:val="none" w:sz="0" w:space="0" w:color="auto"/>
                    <w:right w:val="none" w:sz="0" w:space="0" w:color="auto"/>
                  </w:divBdr>
                </w:div>
                <w:div w:id="2057923211">
                  <w:marLeft w:val="0"/>
                  <w:marRight w:val="0"/>
                  <w:marTop w:val="0"/>
                  <w:marBottom w:val="0"/>
                  <w:divBdr>
                    <w:top w:val="none" w:sz="0" w:space="0" w:color="auto"/>
                    <w:left w:val="none" w:sz="0" w:space="0" w:color="auto"/>
                    <w:bottom w:val="none" w:sz="0" w:space="0" w:color="auto"/>
                    <w:right w:val="none" w:sz="0" w:space="0" w:color="auto"/>
                  </w:divBdr>
                  <w:divsChild>
                    <w:div w:id="601110141">
                      <w:marLeft w:val="0"/>
                      <w:marRight w:val="0"/>
                      <w:marTop w:val="0"/>
                      <w:marBottom w:val="0"/>
                      <w:divBdr>
                        <w:top w:val="none" w:sz="0" w:space="0" w:color="auto"/>
                        <w:left w:val="none" w:sz="0" w:space="0" w:color="auto"/>
                        <w:bottom w:val="none" w:sz="0" w:space="0" w:color="auto"/>
                        <w:right w:val="none" w:sz="0" w:space="0" w:color="auto"/>
                      </w:divBdr>
                      <w:divsChild>
                        <w:div w:id="534080911">
                          <w:marLeft w:val="0"/>
                          <w:marRight w:val="0"/>
                          <w:marTop w:val="0"/>
                          <w:marBottom w:val="300"/>
                          <w:divBdr>
                            <w:top w:val="none" w:sz="0" w:space="0" w:color="auto"/>
                            <w:left w:val="none" w:sz="0" w:space="0" w:color="auto"/>
                            <w:bottom w:val="none" w:sz="0" w:space="0" w:color="auto"/>
                            <w:right w:val="none" w:sz="0" w:space="0" w:color="auto"/>
                          </w:divBdr>
                          <w:divsChild>
                            <w:div w:id="2112125638">
                              <w:marLeft w:val="0"/>
                              <w:marRight w:val="0"/>
                              <w:marTop w:val="0"/>
                              <w:marBottom w:val="0"/>
                              <w:divBdr>
                                <w:top w:val="none" w:sz="0" w:space="0" w:color="auto"/>
                                <w:left w:val="none" w:sz="0" w:space="0" w:color="auto"/>
                                <w:bottom w:val="none" w:sz="0" w:space="0" w:color="auto"/>
                                <w:right w:val="none" w:sz="0" w:space="0" w:color="auto"/>
                              </w:divBdr>
                              <w:divsChild>
                                <w:div w:id="1467044419">
                                  <w:marLeft w:val="0"/>
                                  <w:marRight w:val="0"/>
                                  <w:marTop w:val="0"/>
                                  <w:marBottom w:val="150"/>
                                  <w:divBdr>
                                    <w:top w:val="none" w:sz="0" w:space="0" w:color="auto"/>
                                    <w:left w:val="none" w:sz="0" w:space="0" w:color="auto"/>
                                    <w:bottom w:val="none" w:sz="0" w:space="0" w:color="auto"/>
                                    <w:right w:val="none" w:sz="0" w:space="0" w:color="auto"/>
                                  </w:divBdr>
                                  <w:divsChild>
                                    <w:div w:id="12382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4298">
                          <w:marLeft w:val="0"/>
                          <w:marRight w:val="0"/>
                          <w:marTop w:val="0"/>
                          <w:marBottom w:val="300"/>
                          <w:divBdr>
                            <w:top w:val="none" w:sz="0" w:space="0" w:color="auto"/>
                            <w:left w:val="none" w:sz="0" w:space="0" w:color="auto"/>
                            <w:bottom w:val="none" w:sz="0" w:space="0" w:color="auto"/>
                            <w:right w:val="none" w:sz="0" w:space="0" w:color="auto"/>
                          </w:divBdr>
                          <w:divsChild>
                            <w:div w:id="1460219627">
                              <w:marLeft w:val="0"/>
                              <w:marRight w:val="0"/>
                              <w:marTop w:val="0"/>
                              <w:marBottom w:val="0"/>
                              <w:divBdr>
                                <w:top w:val="none" w:sz="0" w:space="0" w:color="auto"/>
                                <w:left w:val="none" w:sz="0" w:space="0" w:color="auto"/>
                                <w:bottom w:val="none" w:sz="0" w:space="0" w:color="auto"/>
                                <w:right w:val="none" w:sz="0" w:space="0" w:color="auto"/>
                              </w:divBdr>
                              <w:divsChild>
                                <w:div w:id="669409759">
                                  <w:marLeft w:val="0"/>
                                  <w:marRight w:val="0"/>
                                  <w:marTop w:val="0"/>
                                  <w:marBottom w:val="150"/>
                                  <w:divBdr>
                                    <w:top w:val="none" w:sz="0" w:space="0" w:color="auto"/>
                                    <w:left w:val="none" w:sz="0" w:space="0" w:color="auto"/>
                                    <w:bottom w:val="none" w:sz="0" w:space="0" w:color="auto"/>
                                    <w:right w:val="none" w:sz="0" w:space="0" w:color="auto"/>
                                  </w:divBdr>
                                  <w:divsChild>
                                    <w:div w:id="6295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7352">
                          <w:marLeft w:val="0"/>
                          <w:marRight w:val="0"/>
                          <w:marTop w:val="0"/>
                          <w:marBottom w:val="300"/>
                          <w:divBdr>
                            <w:top w:val="none" w:sz="0" w:space="0" w:color="auto"/>
                            <w:left w:val="none" w:sz="0" w:space="0" w:color="auto"/>
                            <w:bottom w:val="none" w:sz="0" w:space="0" w:color="auto"/>
                            <w:right w:val="none" w:sz="0" w:space="0" w:color="auto"/>
                          </w:divBdr>
                          <w:divsChild>
                            <w:div w:id="2144227519">
                              <w:marLeft w:val="0"/>
                              <w:marRight w:val="0"/>
                              <w:marTop w:val="0"/>
                              <w:marBottom w:val="0"/>
                              <w:divBdr>
                                <w:top w:val="none" w:sz="0" w:space="0" w:color="auto"/>
                                <w:left w:val="none" w:sz="0" w:space="0" w:color="auto"/>
                                <w:bottom w:val="none" w:sz="0" w:space="0" w:color="auto"/>
                                <w:right w:val="none" w:sz="0" w:space="0" w:color="auto"/>
                              </w:divBdr>
                              <w:divsChild>
                                <w:div w:id="171919385">
                                  <w:marLeft w:val="0"/>
                                  <w:marRight w:val="0"/>
                                  <w:marTop w:val="0"/>
                                  <w:marBottom w:val="150"/>
                                  <w:divBdr>
                                    <w:top w:val="none" w:sz="0" w:space="0" w:color="auto"/>
                                    <w:left w:val="none" w:sz="0" w:space="0" w:color="auto"/>
                                    <w:bottom w:val="none" w:sz="0" w:space="0" w:color="auto"/>
                                    <w:right w:val="none" w:sz="0" w:space="0" w:color="auto"/>
                                  </w:divBdr>
                                  <w:divsChild>
                                    <w:div w:id="20626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0024">
                          <w:marLeft w:val="0"/>
                          <w:marRight w:val="0"/>
                          <w:marTop w:val="0"/>
                          <w:marBottom w:val="0"/>
                          <w:divBdr>
                            <w:top w:val="none" w:sz="0" w:space="0" w:color="auto"/>
                            <w:left w:val="none" w:sz="0" w:space="0" w:color="auto"/>
                            <w:bottom w:val="none" w:sz="0" w:space="0" w:color="auto"/>
                            <w:right w:val="none" w:sz="0" w:space="0" w:color="auto"/>
                          </w:divBdr>
                          <w:divsChild>
                            <w:div w:id="426849313">
                              <w:marLeft w:val="0"/>
                              <w:marRight w:val="0"/>
                              <w:marTop w:val="0"/>
                              <w:marBottom w:val="0"/>
                              <w:divBdr>
                                <w:top w:val="none" w:sz="0" w:space="0" w:color="auto"/>
                                <w:left w:val="none" w:sz="0" w:space="0" w:color="auto"/>
                                <w:bottom w:val="none" w:sz="0" w:space="0" w:color="auto"/>
                                <w:right w:val="none" w:sz="0" w:space="0" w:color="auto"/>
                              </w:divBdr>
                              <w:divsChild>
                                <w:div w:id="2021807200">
                                  <w:marLeft w:val="0"/>
                                  <w:marRight w:val="0"/>
                                  <w:marTop w:val="0"/>
                                  <w:marBottom w:val="150"/>
                                  <w:divBdr>
                                    <w:top w:val="none" w:sz="0" w:space="0" w:color="auto"/>
                                    <w:left w:val="none" w:sz="0" w:space="0" w:color="auto"/>
                                    <w:bottom w:val="none" w:sz="0" w:space="0" w:color="auto"/>
                                    <w:right w:val="none" w:sz="0" w:space="0" w:color="auto"/>
                                  </w:divBdr>
                                  <w:divsChild>
                                    <w:div w:id="1564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gnedir.com/is-sagligi-ve-guvenligi-kanunu/" TargetMode="External"/><Relationship Id="rId5" Type="http://schemas.openxmlformats.org/officeDocument/2006/relationships/hyperlink" Target="https://www.isgnedir.com/is-kazasi-sonrasinda-yapilacak-resmi-islem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atasanbilisim</dc:creator>
  <cp:keywords/>
  <dc:description/>
  <cp:lastModifiedBy>atasanbilisim</cp:lastModifiedBy>
  <cp:revision>2</cp:revision>
  <dcterms:created xsi:type="dcterms:W3CDTF">2021-06-17T11:35:00Z</dcterms:created>
  <dcterms:modified xsi:type="dcterms:W3CDTF">2021-06-17T11:35:00Z</dcterms:modified>
</cp:coreProperties>
</file>